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7190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lt-LT"/>
        </w:rPr>
        <w:t>Projektas „Mokyklų aprūpinimas gamtos ir technologinių mokslų priemonėmis“</w:t>
      </w:r>
    </w:p>
    <w:p w14:paraId="6CB862A6" w14:textId="77777777" w:rsidR="00D44BDF" w:rsidRPr="00D44BDF" w:rsidRDefault="00D44BDF" w:rsidP="00D44BDF">
      <w:pPr>
        <w:shd w:val="clear" w:color="auto" w:fill="FFFFFF"/>
        <w:spacing w:after="130" w:line="240" w:lineRule="auto"/>
        <w:jc w:val="both"/>
        <w:outlineLvl w:val="2"/>
        <w:rPr>
          <w:rFonts w:ascii="Segoe UI" w:eastAsia="Times New Roman" w:hAnsi="Segoe UI" w:cs="Segoe UI"/>
          <w:color w:val="2B2B2B"/>
          <w:sz w:val="39"/>
          <w:szCs w:val="39"/>
          <w:lang w:eastAsia="lt-LT"/>
        </w:rPr>
      </w:pPr>
      <w:r w:rsidRPr="00D44BDF">
        <w:rPr>
          <w:rFonts w:ascii="Segoe UI" w:eastAsia="Times New Roman" w:hAnsi="Segoe UI" w:cs="Segoe UI"/>
          <w:color w:val="2B2B2B"/>
          <w:sz w:val="39"/>
          <w:szCs w:val="39"/>
          <w:lang w:eastAsia="lt-LT"/>
        </w:rPr>
        <w:t>Apie projektą</w:t>
      </w:r>
    </w:p>
    <w:p w14:paraId="78AD6320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lt-LT"/>
        </w:rPr>
        <w:t>Projekto tikslas</w:t>
      </w: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 – didinti bendrojo ugdymo įstaigų tinklo veiklos efektyvumą.</w:t>
      </w:r>
    </w:p>
    <w:p w14:paraId="2EC0C753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lt-LT"/>
        </w:rPr>
        <w:t>Projekto uždavinys</w:t>
      </w: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 – modernizuoti gamtos ir technologinių mokslų mokymo(</w:t>
      </w:r>
      <w:proofErr w:type="spellStart"/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si</w:t>
      </w:r>
      <w:proofErr w:type="spellEnd"/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) aplinką.</w:t>
      </w:r>
    </w:p>
    <w:p w14:paraId="34AB8901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lt-LT"/>
        </w:rPr>
        <w:t>Projekto partneriai:</w:t>
      </w: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 visos šalies savivaldybės ir valstybinės mokyklos.</w:t>
      </w:r>
    </w:p>
    <w:p w14:paraId="33B3BAA3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Projekto įgyvendinimo metu yra vykdomos šios veiklos:</w:t>
      </w:r>
    </w:p>
    <w:p w14:paraId="110BDFCD" w14:textId="77777777" w:rsidR="00D44BDF" w:rsidRPr="00D44BDF" w:rsidRDefault="00D44BDF" w:rsidP="00D44BDF">
      <w:pPr>
        <w:numPr>
          <w:ilvl w:val="0"/>
          <w:numId w:val="1"/>
        </w:numPr>
        <w:shd w:val="clear" w:color="auto" w:fill="FFFFFF"/>
        <w:spacing w:after="90" w:line="240" w:lineRule="auto"/>
        <w:ind w:left="1320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Gamtos ir technologinių mokslų mokymo priemonių ir įrangos įsigijimas. Perkami mokymo priemonių ir įrangos komplektai atskirai 1–4 kl. ir 5–8 kl. mokykloms, kurios vykdo atitinkamas bendrojo ugdymo programas.</w:t>
      </w:r>
    </w:p>
    <w:p w14:paraId="0F95741F" w14:textId="77777777" w:rsidR="00D44BDF" w:rsidRPr="00D44BDF" w:rsidRDefault="00D44BDF" w:rsidP="00D44BDF">
      <w:pPr>
        <w:numPr>
          <w:ilvl w:val="0"/>
          <w:numId w:val="1"/>
        </w:numPr>
        <w:shd w:val="clear" w:color="auto" w:fill="FFFFFF"/>
        <w:spacing w:after="90" w:line="240" w:lineRule="auto"/>
        <w:ind w:left="1320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Gamtos ir technologinių mokslams mokyti įsigytų mokymo priemonių ir įrangos panaudojimo ugdymo procese metodikų parengimas.</w:t>
      </w:r>
    </w:p>
    <w:p w14:paraId="73948906" w14:textId="77777777" w:rsidR="00D44BDF" w:rsidRPr="00D44BDF" w:rsidRDefault="00D44BDF" w:rsidP="00D44B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noProof/>
          <w:color w:val="1E73BE"/>
          <w:sz w:val="27"/>
          <w:szCs w:val="27"/>
          <w:lang w:eastAsia="lt-LT"/>
        </w:rPr>
        <w:drawing>
          <wp:inline distT="0" distB="0" distL="0" distR="0" wp14:anchorId="62377449" wp14:editId="0474FC4D">
            <wp:extent cx="1895475" cy="666750"/>
            <wp:effectExtent l="0" t="0" r="9525" b="0"/>
            <wp:docPr id="3" name="Paveikslėlis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  </w:t>
      </w:r>
      <w:r w:rsidRPr="00D44BDF">
        <w:rPr>
          <w:rFonts w:ascii="Segoe UI" w:eastAsia="Times New Roman" w:hAnsi="Segoe UI" w:cs="Segoe UI"/>
          <w:noProof/>
          <w:color w:val="0A0A0A"/>
          <w:sz w:val="27"/>
          <w:szCs w:val="27"/>
          <w:lang w:eastAsia="lt-LT"/>
        </w:rPr>
        <w:drawing>
          <wp:inline distT="0" distB="0" distL="0" distR="0" wp14:anchorId="16FFB90B" wp14:editId="6B6A8EC5">
            <wp:extent cx="1695450" cy="6667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  </w:t>
      </w:r>
      <w:r w:rsidRPr="00D44BDF">
        <w:rPr>
          <w:rFonts w:ascii="Segoe UI" w:eastAsia="Times New Roman" w:hAnsi="Segoe UI" w:cs="Segoe UI"/>
          <w:noProof/>
          <w:color w:val="1E73BE"/>
          <w:sz w:val="27"/>
          <w:szCs w:val="27"/>
          <w:lang w:eastAsia="lt-LT"/>
        </w:rPr>
        <mc:AlternateContent>
          <mc:Choice Requires="wps">
            <w:drawing>
              <wp:inline distT="0" distB="0" distL="0" distR="0" wp14:anchorId="71F4091C" wp14:editId="3A0E6697">
                <wp:extent cx="304800" cy="304800"/>
                <wp:effectExtent l="0" t="0" r="0" b="0"/>
                <wp:docPr id="1" name="AutoShap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3146D" id="AutoShape 3" o:spid="_x0000_s1026" href="http://www.sac.smm.lt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4599B20" w14:textId="77777777" w:rsidR="00D44BDF" w:rsidRPr="00D44BDF" w:rsidRDefault="00D44BDF" w:rsidP="00D44BD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u w:val="single"/>
          <w:lang w:eastAsia="lt-LT"/>
        </w:rPr>
      </w:pPr>
      <w:r w:rsidRPr="00D44BDF">
        <w:rPr>
          <w:rFonts w:ascii="Segoe UI" w:eastAsia="Times New Roman" w:hAnsi="Segoe UI" w:cs="Segoe UI"/>
          <w:color w:val="0A0A0A"/>
          <w:sz w:val="27"/>
          <w:szCs w:val="27"/>
          <w:u w:val="single"/>
          <w:lang w:eastAsia="lt-LT"/>
        </w:rPr>
        <w:t>http://www.vedlys.smm.lt/web/admin/school_purchase/616/school</w:t>
      </w:r>
    </w:p>
    <w:p w14:paraId="1CA0DC7D" w14:textId="77777777" w:rsidR="00D44BDF" w:rsidRPr="00D44BDF" w:rsidRDefault="00D44BDF" w:rsidP="00D44BDF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</w:pPr>
      <w:r w:rsidRPr="00D44BDF">
        <w:rPr>
          <w:rFonts w:ascii="Segoe UI" w:eastAsia="Times New Roman" w:hAnsi="Segoe UI" w:cs="Segoe UI"/>
          <w:color w:val="0A0A0A"/>
          <w:sz w:val="27"/>
          <w:szCs w:val="27"/>
          <w:lang w:eastAsia="lt-LT"/>
        </w:rPr>
        <w:t>„Gerų švietimo rezultatų pasiekiančiose šalyse gamtos mokslų mokoma taikant praktinę tiriamąją veiklą – ji vis populiaresnė ir Lietuvos mokyklose. Vis daugiau dėmesio skiriama gyvosios gamtos stebėjimui, mokslinių idėjų ir technologijų pritaikymui kasdieniame gyvenime. Gamtos mokslų pamokos persikelia ir į netradicines erdves: parką ar mokyklos kiemą“, – sako švietimo ir mokslo ministrė Jurgita Petrauskienė.</w:t>
      </w:r>
    </w:p>
    <w:p w14:paraId="77AADFC2" w14:textId="77777777" w:rsidR="00984CE0" w:rsidRDefault="00984CE0"/>
    <w:sectPr w:rsidR="00984CE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49A"/>
    <w:multiLevelType w:val="multilevel"/>
    <w:tmpl w:val="064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452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F"/>
    <w:rsid w:val="00984CE0"/>
    <w:rsid w:val="00D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442"/>
  <w15:chartTrackingRefBased/>
  <w15:docId w15:val="{86F023D5-9D60-4B26-A06E-EBF44FF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smm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m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Matarevič</dc:creator>
  <cp:keywords/>
  <dc:description/>
  <cp:lastModifiedBy>Daiva Matarevič</cp:lastModifiedBy>
  <cp:revision>2</cp:revision>
  <dcterms:created xsi:type="dcterms:W3CDTF">2022-11-14T06:36:00Z</dcterms:created>
  <dcterms:modified xsi:type="dcterms:W3CDTF">2022-11-14T06:41:00Z</dcterms:modified>
</cp:coreProperties>
</file>